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89" w:rsidRPr="00A42B2A" w:rsidRDefault="00116E89" w:rsidP="00D80D03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МОНГОЛ УЛСЫН СТАНДАРТ</w:t>
      </w:r>
    </w:p>
    <w:p w:rsidR="00116E89" w:rsidRPr="00A42B2A" w:rsidRDefault="00116E89" w:rsidP="00407AB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Ангилалтын код 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83"/>
        <w:gridCol w:w="3156"/>
      </w:tblGrid>
      <w:tr w:rsidR="00A42B2A" w:rsidRPr="00A42B2A" w:rsidTr="00C64AD6">
        <w:tc>
          <w:tcPr>
            <w:tcW w:w="6177" w:type="dxa"/>
            <w:vAlign w:val="bottom"/>
          </w:tcPr>
          <w:p w:rsidR="00407AB1" w:rsidRPr="00A42B2A" w:rsidRDefault="00407AB1" w:rsidP="00A1108F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Ундны ус. </w:t>
            </w:r>
            <w:r w:rsidR="00CA3840"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Кальци, магнийн нийт агууламж тодорхойлох</w:t>
            </w: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 xml:space="preserve"> арга</w:t>
            </w:r>
          </w:p>
        </w:tc>
        <w:tc>
          <w:tcPr>
            <w:tcW w:w="3179" w:type="dxa"/>
            <w:vAlign w:val="center"/>
          </w:tcPr>
          <w:p w:rsidR="00407AB1" w:rsidRPr="00A42B2A" w:rsidRDefault="00407AB1" w:rsidP="00C64AD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MNS</w:t>
            </w:r>
            <w:r w:rsidR="003402D8"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…….</w:t>
            </w:r>
            <w:r w:rsidR="00412B18"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...</w:t>
            </w: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:</w:t>
            </w: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201</w:t>
            </w: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A42B2A" w:rsidRPr="00A42B2A" w:rsidTr="00A1108F">
        <w:tc>
          <w:tcPr>
            <w:tcW w:w="6177" w:type="dxa"/>
            <w:vAlign w:val="bottom"/>
          </w:tcPr>
          <w:p w:rsidR="00407AB1" w:rsidRPr="00A42B2A" w:rsidRDefault="000B1DCC" w:rsidP="00A1108F">
            <w:pPr>
              <w:spacing w:before="100" w:beforeAutospacing="1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A42B2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Drinking water. </w:t>
            </w:r>
            <w:r w:rsidR="00FD08D1" w:rsidRPr="00A42B2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Determination m</w:t>
            </w:r>
            <w:r w:rsidRPr="00A42B2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ethod</w:t>
            </w:r>
            <w:r w:rsidR="00407AB1" w:rsidRPr="00A42B2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of hardness</w:t>
            </w:r>
          </w:p>
        </w:tc>
        <w:tc>
          <w:tcPr>
            <w:tcW w:w="3179" w:type="dxa"/>
            <w:vAlign w:val="bottom"/>
          </w:tcPr>
          <w:p w:rsidR="00407AB1" w:rsidRPr="00A42B2A" w:rsidRDefault="00407AB1" w:rsidP="00A1108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mn-MN"/>
              </w:rPr>
              <w:t>ГОСТ 31954-2012</w:t>
            </w:r>
          </w:p>
        </w:tc>
      </w:tr>
    </w:tbl>
    <w:p w:rsidR="00174436" w:rsidRPr="00A42B2A" w:rsidRDefault="00407AB1" w:rsidP="0017443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Стандарт, Хэмжилзүйн газрын даргын 2019 оны ...-р сарын ....  өдрийн....дугаар тушаалаар батлав.</w:t>
      </w:r>
      <w:r w:rsidR="00174436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07AB1" w:rsidRPr="00A42B2A" w:rsidRDefault="00407AB1" w:rsidP="0017443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Энэхүү стандарт нь улсын бүртгэлд бүртгэсэн өдрөөс эхлэн хүчинтэй.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Хамрах болон хэрэглэх хүрээ</w:t>
      </w:r>
    </w:p>
    <w:p w:rsidR="00407AB1" w:rsidRPr="00A42B2A" w:rsidRDefault="00407AB1" w:rsidP="007C5F0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Энэхүү стандарт нь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2A18">
        <w:rPr>
          <w:rFonts w:ascii="Arial" w:hAnsi="Arial" w:cs="Arial"/>
          <w:color w:val="000000" w:themeColor="text1"/>
          <w:sz w:val="24"/>
          <w:szCs w:val="24"/>
          <w:lang w:val="mn-MN"/>
        </w:rPr>
        <w:t>байгалийн (гадаргын ба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A384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гүний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) болон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ундны усны төрөл бүрийн эх үүсвэрийн, түүнчлэн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савласан усны</w:t>
      </w:r>
      <w:r w:rsidR="00CA384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кальци, магнийн нийт агууламжийг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A3840"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="00CA384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ерөнхий хатуулаг</w:t>
      </w:r>
      <w:r w:rsidR="00CA3840" w:rsidRPr="00A42B2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комплексонометрийн аргаар  тодорхойлоход хамаарна. 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Норматив ишлэл</w:t>
      </w:r>
    </w:p>
    <w:p w:rsidR="00407AB1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Энэ стандартад дараах норматив бичиг баримт, стандартаас ишлэл хийсэн бөгөөд тэдгээрт өөрчлөлт орсон тохиолдолд хамгийн сүүлийн албан ёсны эх материалыг  баримтална.</w:t>
      </w:r>
    </w:p>
    <w:p w:rsidR="0076236A" w:rsidRPr="00A42B2A" w:rsidRDefault="0076236A" w:rsidP="00612934">
      <w:pPr>
        <w:spacing w:after="0"/>
        <w:jc w:val="both"/>
        <w:rPr>
          <w:rFonts w:ascii="Arial" w:hAnsi="Arial" w:cs="Arial"/>
          <w:i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i/>
          <w:color w:val="000000" w:themeColor="text1"/>
          <w:sz w:val="24"/>
          <w:szCs w:val="24"/>
        </w:rPr>
        <w:t>“</w:t>
      </w:r>
      <w:r w:rsidRPr="00A42B2A">
        <w:rPr>
          <w:rFonts w:ascii="Arial" w:hAnsi="Arial" w:cs="Arial"/>
          <w:i/>
          <w:color w:val="000000" w:themeColor="text1"/>
          <w:sz w:val="24"/>
          <w:szCs w:val="24"/>
          <w:lang w:val="mn-MN"/>
        </w:rPr>
        <w:t xml:space="preserve">ГОСТ 31954-2012 </w:t>
      </w:r>
      <w:r w:rsidRPr="00A42B2A">
        <w:rPr>
          <w:rFonts w:ascii="Arial" w:hAnsi="Arial" w:cs="Arial"/>
          <w:i/>
          <w:color w:val="000000" w:themeColor="text1"/>
          <w:sz w:val="24"/>
          <w:szCs w:val="24"/>
          <w:lang w:val="ru-RU"/>
        </w:rPr>
        <w:t>Вода питьевая. Методы определения жесткости</w:t>
      </w:r>
      <w:r w:rsidRPr="00A42B2A">
        <w:rPr>
          <w:rFonts w:ascii="Arial" w:hAnsi="Arial" w:cs="Arial"/>
          <w:i/>
          <w:color w:val="000000" w:themeColor="text1"/>
          <w:sz w:val="24"/>
          <w:szCs w:val="24"/>
          <w:lang w:val="mn-MN"/>
        </w:rPr>
        <w:t>, Ундны ус. Хатуулаг  тодорхойлох аргууд</w:t>
      </w:r>
      <w:r w:rsidRPr="00A42B2A">
        <w:rPr>
          <w:rFonts w:ascii="Arial" w:hAnsi="Arial" w:cs="Arial"/>
          <w:i/>
          <w:color w:val="000000" w:themeColor="text1"/>
          <w:sz w:val="24"/>
          <w:szCs w:val="24"/>
        </w:rPr>
        <w:t xml:space="preserve">” </w:t>
      </w:r>
    </w:p>
    <w:p w:rsidR="00A26ED6" w:rsidRPr="00A42B2A" w:rsidRDefault="00A26ED6" w:rsidP="00A26ED6">
      <w:pPr>
        <w:pStyle w:val="ListParagraph"/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Аргын зарчим</w:t>
      </w:r>
    </w:p>
    <w:p w:rsidR="00CA3840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Энэ арга нь газрын шүлтийн элементийн ионууд трилон Б-тэй комплекс нэгдлүүдийг үүсгэдэгт үндэслэдэг. Шинжилгээг pH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-10 орчинд эриохром хар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T индикатор илрүүлэгчтэй Трилон Б-ийн уусмалаар титрлэх замаар явуулна.</w:t>
      </w:r>
    </w:p>
    <w:p w:rsidR="00407AB1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Тодорхойлолтын доод хязгаар 0.1 </w:t>
      </w:r>
      <w:proofErr w:type="spellStart"/>
      <w:r w:rsidR="005F3C0E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5F3C0E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D03D14" w:rsidRPr="00D03D14" w:rsidRDefault="00407AB1" w:rsidP="00F6405A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03D14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Саад болох хүчин зүйлс</w:t>
      </w:r>
    </w:p>
    <w:p w:rsidR="00915934" w:rsidRPr="00D03D14" w:rsidRDefault="00CA3840" w:rsidP="00D03D14">
      <w:pPr>
        <w:pStyle w:val="ListParagraph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>ээж нь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урьдчилан </w:t>
      </w:r>
      <w:r w:rsidR="00A84E9B">
        <w:rPr>
          <w:rFonts w:ascii="Arial" w:hAnsi="Arial" w:cs="Arial"/>
          <w:color w:val="000000" w:themeColor="text1"/>
          <w:sz w:val="24"/>
          <w:szCs w:val="24"/>
          <w:lang w:val="mn-MN"/>
        </w:rPr>
        <w:t>хүчиллэгжүүлэгд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>сэн бол натрийн гидроксидоор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(</w:t>
      </w:r>
      <w:r w:rsidR="00A1108F" w:rsidRPr="00D03D14">
        <w:rPr>
          <w:rFonts w:ascii="Arial" w:hAnsi="Arial" w:cs="Arial"/>
          <w:color w:val="000000" w:themeColor="text1"/>
          <w:sz w:val="24"/>
          <w:szCs w:val="24"/>
        </w:rPr>
        <w:t>5.8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)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>, хүчтэй шүлтлэг орчинтой бол давсны хүчлээр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(</w:t>
      </w:r>
      <w:r w:rsidR="00A1108F" w:rsidRPr="00D03D14">
        <w:rPr>
          <w:rFonts w:ascii="Arial" w:hAnsi="Arial" w:cs="Arial"/>
          <w:color w:val="000000" w:themeColor="text1"/>
          <w:sz w:val="24"/>
          <w:szCs w:val="24"/>
        </w:rPr>
        <w:t>5.7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)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507E63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>саармагжуулан</w:t>
      </w:r>
      <w:r w:rsidR="00507E63" w:rsidRPr="00D03D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E63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рНметр болон индикаторын цаасын цаасаар 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pH-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>ийн утгыг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</w:rPr>
        <w:t>6-7</w:t>
      </w:r>
      <w:r w:rsidR="00507E6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болгон</w:t>
      </w:r>
      <w:r w:rsidR="003934F0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915934" w:rsidRPr="00D03D14">
        <w:rPr>
          <w:rFonts w:ascii="Arial" w:hAnsi="Arial" w:cs="Arial"/>
          <w:color w:val="000000" w:themeColor="text1"/>
          <w:sz w:val="24"/>
          <w:szCs w:val="24"/>
          <w:lang w:val="mn-MN"/>
        </w:rPr>
        <w:t>хянана.</w:t>
      </w:r>
    </w:p>
    <w:p w:rsidR="00915934" w:rsidRPr="00A42B2A" w:rsidRDefault="00915934" w:rsidP="00A1108F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Гүний болон хийжүүлсэн усны карбонат болон бикарбонатыг давсны хүчлээс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="00A1108F" w:rsidRPr="00A42B2A">
        <w:rPr>
          <w:rFonts w:ascii="Arial" w:hAnsi="Arial" w:cs="Arial"/>
          <w:color w:val="000000" w:themeColor="text1"/>
          <w:sz w:val="24"/>
          <w:szCs w:val="24"/>
        </w:rPr>
        <w:t>5.7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pH-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ийн утга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6-7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болтол нэмэн халуун усны ууранд 5 минутаас багагүй хугацаанд буцалган нүүрсхүчлийг хийн зайлуулна.</w:t>
      </w:r>
    </w:p>
    <w:p w:rsidR="00407AB1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Уса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 дахь төмрийн ионы агууламж 10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ээс их, зэс, кадми, кобальт, хар тугалга тус бүрийн агууламж 0.05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-ээс их , манган (II),хөнгөн цагаан, цайр, кобальт, никель, цагаан тугалганы  ионы агууламж 0.1 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-ээс их, ус </w:t>
      </w:r>
      <w:r w:rsidR="00277B88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булингартай байх, өнгөний нягтрал нь 200°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-ээс их байх тохиолдолд эквивалент цэгийг тодорхойлоход хүндрэлтэй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улмаас хатуулгийн хэмжээ өндөр гардаг. Орторфосфат ба карбонатын ионууд нь титрлэлт явуулж буй рН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орчинд кальцийг тунадасжуулж болно.</w:t>
      </w:r>
    </w:p>
    <w:p w:rsidR="00407AB1" w:rsidRPr="00A42B2A" w:rsidRDefault="001F7657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Усанд агуулагдах цайрын  200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хөнгөн цагаан, кадми, хар тугалганы 20 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төмрийн 5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манг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ан, кобальт, зэс, никелийн 1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хүртэлх нөлөөг  багасгахын тулд ин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дикатор нэмэхийн өмнө дээжинд 2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perscript"/>
          <w:lang w:val="mn-MN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натрийн сульфидын</w:t>
      </w:r>
      <w:r w:rsidR="00915934"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="00A1108F" w:rsidRPr="00A42B2A">
        <w:rPr>
          <w:rFonts w:ascii="Arial" w:hAnsi="Arial" w:cs="Arial"/>
          <w:color w:val="000000" w:themeColor="text1"/>
          <w:sz w:val="24"/>
          <w:szCs w:val="24"/>
        </w:rPr>
        <w:t>5.6</w:t>
      </w:r>
      <w:r w:rsidR="00915934"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уусмал нэмнэ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анганы  1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төмөр, хөнгөн цагааны  20 мг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 зэсийн 0.3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мг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/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хүртэл</w:t>
      </w:r>
      <w:r w:rsidR="00A26ED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 </w:t>
      </w:r>
      <w:r w:rsidR="00A26ED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нөлөөг  багасгахын тулд  5-10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дусал  гидроксиламин гидрохлоридын</w:t>
      </w:r>
      <w:r w:rsidR="00D03D14" w:rsidRPr="00A42B2A">
        <w:rPr>
          <w:rFonts w:ascii="Arial" w:hAnsi="Arial" w:cs="Arial"/>
          <w:color w:val="000000" w:themeColor="text1"/>
          <w:sz w:val="24"/>
          <w:szCs w:val="24"/>
        </w:rPr>
        <w:t>(5.5)</w:t>
      </w:r>
      <w:r w:rsidR="00D03D14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уусмалаас</w:t>
      </w:r>
      <w:r w:rsidR="00D03D1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нэмнэ.</w:t>
      </w:r>
    </w:p>
    <w:p w:rsidR="00407AB1" w:rsidRPr="00A42B2A" w:rsidRDefault="00407AB1" w:rsidP="00B828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Дээжний булингарыг (умбуур бодис) арилгахдаа нүхний диаметр нь 0.45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9B3A0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микрометр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бүхий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мембранан шүүлтүүр болон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хөх бүслүүрт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үнсгүй шүүлтүүрийн цаасаар шүүнэ.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Усны өнгө зэрэг шинжилгээнд саад бологч хүчин зүйлийг арилгах зорилгоор усны хатуулгийг тодорхойлж болох хэмжээнд дээжийг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усаар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шингэлж болно.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Жич</w:t>
      </w:r>
      <w:r w:rsidR="00A64B2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: Ш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үүсний дараа усны хатуулаг буурах магадлалтай</w:t>
      </w:r>
      <w:r w:rsidR="00A64B2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</w:t>
      </w:r>
    </w:p>
    <w:p w:rsidR="00A10C58" w:rsidRPr="00A42B2A" w:rsidRDefault="00A10C58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Дээж авах, сорьцыг бэлтгэх</w:t>
      </w:r>
    </w:p>
    <w:p w:rsidR="00407AB1" w:rsidRPr="00A42B2A" w:rsidRDefault="00B4108C" w:rsidP="00B4108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MNS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ISO 5667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цуврал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стандартуудын  шаардлагын</w:t>
      </w:r>
      <w:proofErr w:type="gramEnd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дагуу 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дээжийг авна.</w:t>
      </w:r>
    </w:p>
    <w:p w:rsidR="0076236A" w:rsidRPr="00A42B2A" w:rsidRDefault="0076236A" w:rsidP="00B4108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Урвалж 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Шинжилгээнд хэрэглэгдэж буй бодис, урвалжууд химийн шинжилгээнд хэрэглэгдэх шаардлагыг хангасан цэвэр байвал зохино.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1F7657" w:rsidP="00407AB1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25</w:t>
      </w:r>
      <w:r w:rsidR="00612934"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ммоль/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л 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(0.05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н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концентрац</w:t>
      </w:r>
      <w:r w:rsidR="005F3C0E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тай Трилон Б-ийн уусмал</w:t>
      </w:r>
    </w:p>
    <w:p w:rsidR="00407AB1" w:rsidRPr="00A42B2A" w:rsidRDefault="0076236A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80°С-д  х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оёр цагийн турш хатаасан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Трилон Б-ээс 9,31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хэмжин авч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1000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мл-ийн хэмжээт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колбонд хийж 40°-60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°С-ийн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хэмтэй давхар нэрсэн усанд уусгаад тасалгааны нөхцөлд хөргөсний дараа хэмжээс хүртэл ус нэмнэ.</w:t>
      </w:r>
    </w:p>
    <w:p w:rsidR="005F3C0E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Бэлтгэсэн Трилон Б-ийн  уусмалын (5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.1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засварын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коэффициентийг магнийн сульфатын уусмалаар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5.9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)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тогтооно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Түүнчлэн Трилон Б-ийн Олон улсын стандарт загварын уусмал эсвэл Трилон Б-ийн титрийн стандарт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фиксанал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уусмалыг заавруудын дагуу бэлтгэж, </w:t>
      </w:r>
      <w:r w:rsidR="00A26ED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хэрэгцээт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концентрациар  шингэлэн хэрэглэж болно.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Шинэхэн  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бэлдсэн Трилон Б-ийн уусмалыг 6</w:t>
      </w:r>
      <w:r w:rsidR="00251A92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сарын туршид хэрэглэхэд тохиромжтой. 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Засварын коэффициент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ийн утгыг сард нэгээс цөөнгүй удаа шалгах шаардлагатай.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1F7657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5.2  25</w:t>
      </w:r>
      <w:r w:rsidR="003402D8"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ммоль/</w:t>
      </w:r>
      <w:r w:rsidR="005F3C0E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л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(0.05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н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концентрац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тай </w:t>
      </w: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магнийн ион</w:t>
      </w: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магнийн сульфатын уусмал </w:t>
      </w:r>
    </w:p>
    <w:p w:rsidR="00407AB1" w:rsidRPr="00A42B2A" w:rsidRDefault="00407AB1" w:rsidP="001F765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уусмалыг Олон улсын стандарт загвар    эсвэл  магнийн сульфатын  титрийн стандарт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фиксанал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-аас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харгалзах зааврын дагуу бэлтгэх ба шаардлагатай бол шингэлнэ..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3465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Буфер</w:t>
      </w:r>
      <w:r w:rsidR="0076236A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уусмал pH = (10 ± 0.1)</w:t>
      </w:r>
    </w:p>
    <w:p w:rsidR="005F3C0E" w:rsidRPr="00A42B2A" w:rsidRDefault="001F7657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500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A2AE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хэмжээст колбонд 10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аммонийн хлорид, 100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давхар нэрсэн ус, 50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r w:rsidR="00286DA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25%-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ийн усан аммиак нэмж сайтар хольсны дараа хэмжээс хүртэл давхар нэрсэн ус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нэм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нэ. </w:t>
      </w:r>
    </w:p>
    <w:p w:rsidR="00407AB1" w:rsidRPr="00A42B2A" w:rsidRDefault="00407AB1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Буфер уусмалыг нягт бөглөөтэй хуванцар саванд 2 сарын турш</w:t>
      </w:r>
      <w:r w:rsidR="00277B88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хадгалж хэрэглэнэ.  Ашиглахын өмнө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буфер уусмалын </w:t>
      </w:r>
      <w:r w:rsidR="00277B88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устөрөгчийн илтгэгч</w:t>
      </w:r>
      <w:r w:rsidR="00277B88"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рН</w:t>
      </w:r>
      <w:r w:rsidR="00277B88"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-ийг  рН-метр ашиглан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тогтмол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алгана.  Хэрэв рН-ийн утга 0.2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нэгжээр өөрчлөгдсө</w:t>
      </w:r>
      <w:r w:rsidR="00A64B2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 бол шинэ буфер уусмал бэлтгэн хэрэглэнэ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5.4 </w:t>
      </w:r>
      <w:r w:rsidR="0043465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Индикаторууд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5.4.1 </w:t>
      </w:r>
      <w:r w:rsidR="0043465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Индикаторын уусмал</w:t>
      </w:r>
    </w:p>
    <w:p w:rsidR="00407AB1" w:rsidRPr="00A42B2A" w:rsidRDefault="001F7657" w:rsidP="00B8286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100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эзлэхүүнтэй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индикаторын уусмал  бэлтгэхийн тулд  100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-ээс багагүй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багтаамжтай шилэн аяганд 0.5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эриохром х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ар T индикатор  хэмжиж аваад 20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буфер уусмал,  80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этилийн спирт нэмж сайтар хутгана. Шинэхэн  бэлдсэн уусмалыг бараан шилэн саванд 10 хоногийн турш хадгалан хэрэглэнэ. </w:t>
      </w:r>
    </w:p>
    <w:p w:rsidR="001F7657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Эриохром хар T индикаторын оронд хүчиллэг хром хар хөх индикаторыг хэрэглэж болох ба уусмалыг  дээрхийн  адилаар бэлтгэнэ.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Энэ уусмалын хадгалах хугацаа 3 сараас ихгүй байна.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5.4.2  Хуурай холимог индикатор</w:t>
      </w:r>
    </w:p>
    <w:p w:rsidR="00407AB1" w:rsidRPr="00A42B2A" w:rsidRDefault="00407AB1" w:rsidP="0076236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Хуурай холимог индикаторыг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доорх дарааллаар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бэлтгэнэ: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ааза</w:t>
      </w:r>
      <w:r w:rsidR="00F426B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  аяганд 0.25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DCD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эриохром хар 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T болон</w:t>
      </w:r>
      <w:r w:rsidR="00F426B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50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натрийн хлоридыг хэмжин авч, сайтар хольж нухна. Шинэхэн  бэлдсэн холимгийг бараан шилэн саванд нэг жил хадгалан ашиглана.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5.5</w:t>
      </w:r>
      <w:r w:rsidR="005F3C0E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Гидроксиламин гидрохлоридын уусмал</w:t>
      </w:r>
    </w:p>
    <w:p w:rsidR="00407AB1" w:rsidRPr="00A42B2A" w:rsidRDefault="00A64B26" w:rsidP="00A64B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1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гидроксиламин гидрохлорид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(NH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OH·HCl)-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ыг 100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давхар нэрсэн усанд  уусгана.</w:t>
      </w:r>
      <w:r w:rsidR="001A6DCD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Шинэхэн  бэлдсэн  уусмалыг 2 сарын турш хэрэглэнэ.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5.6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43465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Натрийн сульфидийн уусмал</w:t>
      </w:r>
    </w:p>
    <w:p w:rsidR="00407AB1" w:rsidRPr="00A42B2A" w:rsidRDefault="005F3C0E" w:rsidP="003402D8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Na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S·9H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O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эсвэл 3.5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S·5H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O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натрийн сульфидийг  100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усанд уусгана. Уусмалыг хэрэглэх өдрөө бэлдэнэ.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5.7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1F7657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0.1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моль/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л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0.1 н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концентрац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</w:t>
      </w:r>
      <w:r w:rsidR="00407AB1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тай давсны хүчлийн уусмал</w:t>
      </w:r>
    </w:p>
    <w:p w:rsidR="00407AB1" w:rsidRPr="00A42B2A" w:rsidRDefault="001F7657" w:rsidP="003402D8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1000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багтаамжтай хэмжээст колбонд талыг нь хүртэл  давхар нэрсэн ус хийгээд 8</w:t>
      </w:r>
      <w:r w:rsidR="00B82867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концентрацитай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давсны хүчил  нэмэн  хэмжээс хүртэл давхар нэрсэн усаар дүүргэнэ. </w:t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Уусмалыг хадгалах хугацаа 6 сараас ихгүй байна.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76236A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Энэхүү х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үчлийн уусмалыг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титрийн  стандарт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фиксанал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уусмалаас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нь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харгалзах зааврын дагуу бэлтгэж болно.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5.8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</w:t>
      </w:r>
      <w:r w:rsidR="001F7657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0.2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моль/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л 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0.2 н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A64B26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концентрацитай натрийн гидроксидын уусмал </w:t>
      </w:r>
    </w:p>
    <w:p w:rsidR="00407AB1" w:rsidRPr="00A42B2A" w:rsidRDefault="00BF45CF" w:rsidP="003402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илэн стаканд 8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натрийн гидроксидийг бага хэмжээний дав</w:t>
      </w:r>
      <w:r w:rsidR="0002169B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хар нэрсэн усанд уусган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хөр</w:t>
      </w:r>
      <w:r w:rsidR="0002169B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гөс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ний дараа 1000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хэмжээст колбонд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юүл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ж,  хэмжээс хүртэл давхар нэрсэн ус  нэмнэ.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Уусмалыг хуванцар  с</w:t>
      </w:r>
      <w:r w:rsidR="00A64B26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аванд 6 сараас ихгүй хугацаанд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хадгална.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5.9 </w:t>
      </w:r>
      <w:r w:rsidR="00BF45CF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Трилон Б-ийн уусмалын титрийн </w:t>
      </w:r>
      <w:r w:rsidR="00135AC0"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засварын коэффициент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ийг тогтоох</w:t>
      </w:r>
    </w:p>
    <w:p w:rsidR="00BF45CF" w:rsidRPr="00A42B2A" w:rsidRDefault="001F7657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250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багтаамжтай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шувтан колбонд 10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магнийн сульфатын уусмал (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.2), 90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давхар нэрсэн ус, 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буфер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уусмал  (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.3)  болон 5-7 дусал индикатор уусмал (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.4.1) эсвэл 0.05-0.1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 хуурай индикаторын хольцыг (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.4.2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нэмээд тэр даруй Трилон Б-ийн</w:t>
      </w:r>
      <w:r w:rsidR="00A64B26" w:rsidRPr="00A42B2A">
        <w:rPr>
          <w:rFonts w:ascii="Arial" w:hAnsi="Arial" w:cs="Arial"/>
          <w:color w:val="000000" w:themeColor="text1"/>
          <w:sz w:val="24"/>
          <w:szCs w:val="24"/>
        </w:rPr>
        <w:t xml:space="preserve"> (5.1)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уусмалаар  эквивалент цэг хүртэл титрлэнэ.</w:t>
      </w:r>
    </w:p>
    <w:p w:rsidR="00407AB1" w:rsidRPr="00A42B2A" w:rsidRDefault="00407AB1" w:rsidP="003402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Эриохром хар Т-индикатор ашиглах тохиолдолд уусмалын өнгө хүрэн улаан (улаан  ягаан)-аас  цэнхэр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ногоон туяатай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болж өөрчлөгдөнө.  Хүчиллэг  хром хар хөх индикатор ашигласан тохиолдолд уусмал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ыг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цэнхэр (хөх ягаан) өнгөтэй  болтол титрлэнэ.</w:t>
      </w:r>
    </w:p>
    <w:p w:rsidR="00407AB1" w:rsidRPr="00A42B2A" w:rsidRDefault="00407AB1" w:rsidP="003402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Титрлэлтийн эхэнд Трилон Б-ийн уусмалыг хурдан нэмэх шаардлагатай ба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уусмалтай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колбыг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тасралтгүй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сэгсэрч байна. Дараа нь уусмалын өнгө өөрчлөгдөж эхэл</w:t>
      </w:r>
      <w:r w:rsidR="002D357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мэгц Трилон Б-ийн уусмалыг алгуу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 нэмнэ. Эквивалент цэг  дөхөн өнгө нь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өөрчлөгдөх үеэс өнгө нь өөрчлөгдөхгүй болтол  Трилон Б-ийн уусмалаас дуслаар нэмнэ.</w:t>
      </w:r>
    </w:p>
    <w:p w:rsidR="00407AB1" w:rsidRPr="00A42B2A" w:rsidRDefault="00407AB1" w:rsidP="003402D8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Титрлэлтийг хяналтын уусмалтай харьцуулан гүйцэтгэнэ. Харьцуулах хяналтын уусмалаар бага зэрэг хэтрүүлэн титрлэсэн дээжийг ашиглаж болно. </w:t>
      </w:r>
      <w:r w:rsidR="00BF45CF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Шинжилгээний х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оёроос </w:t>
      </w:r>
      <w:r w:rsidR="00BF45CF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доошгүй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үр дүнгийн арифметик дунджийн утгыг эцсийн   үр дүн  болгон авна. </w:t>
      </w:r>
      <w:r w:rsidR="00BF45CF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асварын коэффициент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ийн утга нь 1.00±0.03-тай тэнцүү байна.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Трилон Б-ийн</w:t>
      </w:r>
      <w:r w:rsidR="009B3A0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титрийн 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з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асварын коэффициент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ийг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дараах томъёогоор тооцоолно. Үүнд:</w:t>
      </w:r>
    </w:p>
    <w:p w:rsidR="00407AB1" w:rsidRPr="00A42B2A" w:rsidRDefault="0019562F" w:rsidP="00407AB1">
      <w:pPr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</w:t>
      </w:r>
      <w:r w:rsidR="00407AB1" w:rsidRPr="00A42B2A">
        <w:rPr>
          <w:rFonts w:ascii="Arial" w:hAnsi="Arial" w:cs="Arial"/>
          <w:color w:val="000000" w:themeColor="text1"/>
          <w:sz w:val="24"/>
          <w:szCs w:val="24"/>
        </w:rPr>
        <w:t>k=</w:t>
      </w:r>
      <m:oMath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4"/>
                <w:szCs w:val="24"/>
              </w:rPr>
              <m:t>V</m:t>
            </m:r>
          </m:den>
        </m:f>
      </m:oMath>
      <w:r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                      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(1)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V- </w:t>
      </w:r>
      <w:proofErr w:type="gramStart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титрлэлтэнд</w:t>
      </w:r>
      <w:proofErr w:type="gramEnd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зарцуулсан Трилон Б-ийн уусмалын эзлэхүүн,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 xml:space="preserve">10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-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магнийн ион агуулсан уусмалын эзл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эхүүн  (4.3.2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)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, мл,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6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43465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Хэмжилтийн хэрэгсэл, туслах тоног төхөөрөмж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 рН метр</w:t>
      </w:r>
    </w:p>
    <w:p w:rsidR="00A64B26" w:rsidRPr="00A42B2A" w:rsidRDefault="00A64B26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-</w:t>
      </w:r>
      <w:r w:rsidR="000612B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gramStart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усан</w:t>
      </w:r>
      <w:proofErr w:type="gramEnd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</w:t>
      </w:r>
      <w:r w:rsidR="000612B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нн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хэмжээст колбууд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хэмжээст пипеткууд</w:t>
      </w:r>
      <w:r w:rsidRPr="00A42B2A">
        <w:rPr>
          <w:rFonts w:ascii="Arial" w:hAnsi="Arial" w:cs="Arial"/>
          <w:strike/>
          <w:color w:val="000000" w:themeColor="text1"/>
          <w:sz w:val="24"/>
          <w:szCs w:val="24"/>
          <w:lang w:val="mn-MN"/>
        </w:rPr>
        <w:t xml:space="preserve"> 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25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болон 10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бюреткүүд эсвэл 30, 50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0.05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-аас ихгүй тунгийн </w:t>
      </w:r>
      <w:r w:rsidR="00030E42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алхамтай хагас автомат дижитал тоон титрлэгч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шувтан колбууд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юүлүүрүүд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химийн шилэн аяга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м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ембран шүүлтүүр ашиглан дээжийг шүүх төхөөрөмж.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0.45 микрометр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6932B3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нүхний диаметртэй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мембранан шүүлтүүр болон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“</w:t>
      </w:r>
      <w:r w:rsidR="00135AC0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хөх бүслүүрт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үнсгүй шүүлтүүрийн цаас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="005D72CC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рН-ийг хянах индикаторын цаас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07AB1" w:rsidRPr="00A42B2A" w:rsidRDefault="00407AB1" w:rsidP="00407AB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7. </w:t>
      </w:r>
      <w:r w:rsidR="00434653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bookmarkStart w:id="0" w:name="_GoBack"/>
      <w:bookmarkEnd w:id="0"/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Шинжилгээний аргачлал 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7.1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Шинжилгээний дээжийг хоёр хэсэгт хуваана.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7.2</w:t>
      </w: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250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багтаамжтай  колбо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нд усны дээжний нэг хэсгээс 100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-ийг таслан авч хийгээд 5 </w:t>
      </w:r>
      <w:r w:rsidR="00BF45C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буферийн уусмал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.3)  болон 5-7 дусал индикатор уусмал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.4.1) эсвэл 0.05-0.1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 хуурай индикаторын хольцыг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.4.2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нэмэн Трилон Б-ийн уусмалаар 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5.9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-д заасны дагуу титрлэнэ.  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7.3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250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багтаамжтай  колбонд усны дээжний хоёр дах</w:t>
      </w:r>
      <w:r w:rsidR="002D357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ь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хэсгээс 100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-ийг таслан авч хийгээд 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буферийн уусмал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.3)  болон 5-7 дусал индикатор уусмал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.4.1) эсвэл 0.05-0.1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г  хуурай индикаторын хольцыг (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.4.2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нэмэн  эхний 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титрлэлтэд орсон хэмжээнээс 0,5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мл-ээр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бага  Трилон Б-ийн уусмал нэмсний дараа шууд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5.9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-д заасны дагуу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Трилон Б-ийн уусмалаар үргэлжлүүлэн гүйцэд титрлэнэ. 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Жич: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 xml:space="preserve">1. Эквивалент цэгт өнгөний өөрчлөлт  үл мэдэгдэм эсвэл саарал өнгөтэй болох нь   саад бологч бодисууд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байгааг илтгэнэ. 4.1-д заасны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дагуу саад бологч хольцын нөлөөг  арилгана.  Хэрэв сөрөг нөлөөллийг арилгах боломжгүй бол хатуулгийг атом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шингээлтийн  спектрометрээр тодорхойлно. </w:t>
      </w:r>
    </w:p>
    <w:p w:rsidR="00407AB1" w:rsidRPr="00A42B2A" w:rsidRDefault="00407AB1" w:rsidP="00407AB1">
      <w:pPr>
        <w:tabs>
          <w:tab w:val="left" w:pos="105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2. Зарцуулагдаж байгаа Трилон Б-ийн уусмалын хэмжээ нь  25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-ийн эзлэхүүнтэй бюретк ашиглаж байгаа үед  20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10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-ийн эзлэхүүнтэй бюретк ашиглаж байгаа үед  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9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-ээс их  байвал  шинжилж буй сорьцын хэмжээг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багасган  нийт эзлэхүүнийг 100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мл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болтол давхар нэрсэн ус нэмж  болно. Усны өнгөний нөлөөг арилгахдаа дээжийн </w:t>
      </w:r>
      <w:r w:rsidR="00D03D14">
        <w:rPr>
          <w:rFonts w:ascii="Arial" w:hAnsi="Arial" w:cs="Arial"/>
          <w:color w:val="000000" w:themeColor="text1"/>
          <w:sz w:val="24"/>
          <w:szCs w:val="24"/>
          <w:lang w:val="mn-MN"/>
        </w:rPr>
        <w:t>хэмжээг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багасгах энэхүү аргыг мөн хэрэглэнэ.</w:t>
      </w:r>
    </w:p>
    <w:p w:rsidR="00407AB1" w:rsidRPr="00A42B2A" w:rsidRDefault="00407AB1" w:rsidP="00407AB1">
      <w:pPr>
        <w:tabs>
          <w:tab w:val="left" w:pos="105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3.  Зарцуулагдаж байгаа Трилон Б-ийн уусмалын хэмжээ нь  25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09047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эзэл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хүүнт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эй бюретк ашиглаж байгаа үед  1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10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эзлэхүүнтэй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бюретк ашиглаж байгаа үед  0,5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мл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-ээс бага байвал тус тус 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ммоль/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 2.5</w:t>
      </w:r>
      <w:r w:rsidR="00612934"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ммоль/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концентрац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и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тай Трилон Б -ийн  уусмал хэрэглэнэ.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.1-ийн дагуу бэлтгэсэн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Трилон Б-ийн </w:t>
      </w:r>
      <w:proofErr w:type="gramStart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уусмалыг  5</w:t>
      </w:r>
      <w:proofErr w:type="gramEnd"/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 10 дахин тус тус шингэлнэ.</w:t>
      </w:r>
    </w:p>
    <w:p w:rsidR="00407AB1" w:rsidRPr="00A42B2A" w:rsidRDefault="00407AB1" w:rsidP="00407AB1">
      <w:pPr>
        <w:tabs>
          <w:tab w:val="left" w:pos="105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D72CC" w:rsidRPr="00A42B2A" w:rsidRDefault="00407AB1" w:rsidP="00407AB1">
      <w:pPr>
        <w:tabs>
          <w:tab w:val="left" w:pos="1050"/>
        </w:tabs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8.  Туршилтын үр дүнг боловсруулах</w:t>
      </w:r>
    </w:p>
    <w:p w:rsidR="00407AB1" w:rsidRPr="00A42B2A" w:rsidRDefault="00407AB1" w:rsidP="00407AB1">
      <w:pPr>
        <w:tabs>
          <w:tab w:val="left" w:pos="1050"/>
        </w:tabs>
        <w:spacing w:after="0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br/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8.1 Усны хатуулгийг дараах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томъёогоор тооцно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19562F" w:rsidRPr="00A42B2A">
        <w:rPr>
          <w:rFonts w:ascii="Arial" w:eastAsiaTheme="minorEastAsia" w:hAnsi="Arial" w:cs="Arial"/>
          <w:color w:val="000000" w:themeColor="text1"/>
          <w:sz w:val="28"/>
          <w:szCs w:val="28"/>
        </w:rPr>
        <w:t xml:space="preserve">                                              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mn-MN"/>
          </w:rPr>
          <m:t>Ж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M∙F∙K</m:t>
            </m:r>
            <m:sSub>
              <m:sSubPr>
                <m:ctrlPr>
                  <w:rPr>
                    <w:rFonts w:ascii="Cambria Math" w:hAnsi="Cambria Math" w:cs="Times New Roman"/>
                    <w:b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∙V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mn-MN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mn-MN"/>
                  </w:rPr>
                  <m:t>0</m:t>
                </m:r>
              </m:sub>
            </m:sSub>
          </m:den>
        </m:f>
      </m:oMath>
      <w:r w:rsidR="0019562F" w:rsidRPr="00A42B2A">
        <w:rPr>
          <w:rFonts w:ascii="Arial" w:eastAsiaTheme="minorEastAsia" w:hAnsi="Arial" w:cs="Arial"/>
          <w:bCs/>
          <w:color w:val="000000" w:themeColor="text1"/>
          <w:sz w:val="24"/>
          <w:szCs w:val="24"/>
        </w:rPr>
        <w:t xml:space="preserve">                                                         </w:t>
      </w:r>
      <w:r w:rsidR="0019562F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(2)</w:t>
      </w:r>
    </w:p>
    <w:p w:rsidR="00407AB1" w:rsidRPr="00A42B2A" w:rsidRDefault="00407AB1" w:rsidP="00407AB1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Ж- ерөнхий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хатуулаг буюу усанд агуулагдах кальци, магнийн нийт агуулга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spellStart"/>
      <w:r w:rsidR="005F3C0E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5F3C0E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5F3C0E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35AC0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030E42" w:rsidRPr="00A42B2A" w:rsidRDefault="00407AB1" w:rsidP="00407AB1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М–</w:t>
      </w:r>
      <w:r w:rsidR="009F64B7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шилжүүлгийн коэффиц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иент,</w:t>
      </w:r>
      <w:r w:rsidR="00030E42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030E42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030E42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030E42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30E42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="00030E42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  </w:t>
      </w:r>
    </w:p>
    <w:p w:rsidR="003B6BA1" w:rsidRPr="00A42B2A" w:rsidRDefault="00030E42" w:rsidP="00407AB1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</w:t>
      </w:r>
      <w:r w:rsidR="0019562F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</w:rPr>
        <w:t>=</w:t>
      </w:r>
      <w:r w:rsidR="00407AB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2</w:t>
      </w:r>
      <m:oMath>
        <m:r>
          <m:rPr>
            <m:sty m:val="p"/>
          </m:rPr>
          <w:rPr>
            <w:rFonts w:ascii="Cambria Math" w:hAnsi="Cambria Math" w:cs="Arial"/>
            <w:color w:val="000000" w:themeColor="text1"/>
            <w:sz w:val="24"/>
            <w:szCs w:val="24"/>
          </w:rPr>
          <m:t>∙</m:t>
        </m:r>
      </m:oMath>
      <w:r w:rsidR="00407AB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С</w:t>
      </w:r>
      <w:r w:rsidR="00407AB1" w:rsidRPr="00A42B2A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mn-MN"/>
        </w:rPr>
        <w:t>ТР</w:t>
      </w:r>
      <w:r w:rsidR="00407AB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. </w:t>
      </w:r>
      <w:r w:rsidR="0019562F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                     </w:t>
      </w:r>
      <w:r w:rsidR="0019562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(3)</w:t>
      </w:r>
    </w:p>
    <w:p w:rsidR="003B6BA1" w:rsidRPr="00A42B2A" w:rsidRDefault="00407AB1" w:rsidP="003B6BA1">
      <w:pPr>
        <w:pStyle w:val="ListParagraph"/>
        <w:spacing w:after="0"/>
        <w:ind w:left="360" w:firstLine="36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Үүнд: С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val="mn-MN"/>
        </w:rPr>
        <w:t xml:space="preserve">ТР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- Трилон Б-ийн уусмалын концентраци,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ммоль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/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.</w:t>
      </w:r>
    </w:p>
    <w:p w:rsidR="00E853A6" w:rsidRPr="00A42B2A" w:rsidRDefault="00407AB1" w:rsidP="00E853A6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F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–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дээжийн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шингэрүүлэлт </w:t>
      </w:r>
      <w:r w:rsidR="00B96F67"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  </w:t>
      </w:r>
      <w:r w:rsidR="00E853A6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E853A6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ихэвчлэн </w:t>
      </w:r>
      <w:r w:rsidR="00E853A6"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F=1)</w:t>
      </w:r>
    </w:p>
    <w:p w:rsidR="00B96F67" w:rsidRPr="00A42B2A" w:rsidRDefault="00B96F67" w:rsidP="00E853A6">
      <w:pPr>
        <w:pStyle w:val="ListParagraph"/>
        <w:spacing w:after="0"/>
        <w:ind w:left="36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    </w:t>
      </w:r>
      <w:r w:rsidR="00E853A6"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ab/>
      </w:r>
      <w:r w:rsidR="00E853A6"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ab/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  </w:t>
      </w:r>
      <w:r w:rsidR="0019562F"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</w:t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F=</m:t>
        </m:r>
        <m:f>
          <m:f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 xml:space="preserve">  </m:t>
            </m:r>
          </m:num>
          <m:den>
            <m:sSub>
              <m:sSubPr>
                <m:ctrlPr>
                  <w:rPr>
                    <w:rFonts w:ascii="Cambria Math" w:eastAsiaTheme="minorEastAsia" w:hAnsi="Cambria Math" w:cs="Arial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rial"/>
                    <w:color w:val="000000" w:themeColor="text1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 xml:space="preserve">   </m:t>
        </m:r>
      </m:oMath>
      <w:r w:rsidR="0019562F"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                                                                 </w:t>
      </w:r>
      <w:r w:rsidR="0019562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(4)</w:t>
      </w:r>
    </w:p>
    <w:p w:rsidR="00B96F67" w:rsidRPr="00A42B2A" w:rsidRDefault="00B96F67" w:rsidP="00B96F67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a</m:t>
            </m:r>
          </m:sub>
        </m:sSub>
      </m:oMath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>-шингэрүүлэхээр авсан дээжийн эзэлхүүн,мл</w:t>
      </w:r>
    </w:p>
    <w:p w:rsidR="00B96F67" w:rsidRPr="00A42B2A" w:rsidRDefault="00B96F67" w:rsidP="00B96F67">
      <w:pPr>
        <w:tabs>
          <w:tab w:val="left" w:pos="1050"/>
        </w:tabs>
        <w:spacing w:after="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ab/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ab/>
      </w: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color w:val="000000" w:themeColor="text1"/>
                <w:sz w:val="24"/>
                <w:szCs w:val="24"/>
              </w:rPr>
              <m:t>k</m:t>
            </m:r>
          </m:sub>
        </m:sSub>
      </m:oMath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–дээжийг шингэлэхэд авсан колбын эзэлхүүн,мл</w:t>
      </w:r>
    </w:p>
    <w:p w:rsidR="00407AB1" w:rsidRPr="00A42B2A" w:rsidRDefault="00407AB1" w:rsidP="00407AB1">
      <w:pPr>
        <w:pStyle w:val="ListParagraph"/>
        <w:spacing w:after="0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K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Трилон Б-ийн уусмалын титрийн з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асварын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коэффициент</w:t>
      </w:r>
      <w:proofErr w:type="gramStart"/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,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proofErr w:type="gramEnd"/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томьёо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(1)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-ийн дагуу тооцсон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407AB1" w:rsidRPr="00A42B2A" w:rsidRDefault="00407AB1" w:rsidP="00407AB1">
      <w:pPr>
        <w:pStyle w:val="ListParagraph"/>
        <w:spacing w:after="0"/>
        <w:ind w:left="36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V</w:t>
      </w:r>
      <w:r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-титрлэлтэд орсон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Трилон Б-ийн уусмалын эзлэхүүн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407AB1" w:rsidRPr="00A42B2A" w:rsidRDefault="00407AB1" w:rsidP="00407AB1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color w:val="000000" w:themeColor="text1"/>
          <w:sz w:val="24"/>
          <w:szCs w:val="24"/>
        </w:rPr>
        <w:t>V</w:t>
      </w:r>
      <w:r w:rsidRPr="00A42B2A">
        <w:rPr>
          <w:rFonts w:ascii="Arial" w:hAnsi="Arial" w:cs="Arial"/>
          <w:color w:val="000000" w:themeColor="text1"/>
          <w:sz w:val="24"/>
          <w:szCs w:val="24"/>
          <w:vertAlign w:val="subscript"/>
        </w:rPr>
        <w:t>0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 усны дээжний эзлэхүүн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(</w:t>
      </w:r>
      <w:r w:rsidR="003B6BA1" w:rsidRPr="00A42B2A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мл</w:t>
      </w:r>
      <w:r w:rsidRPr="00A42B2A">
        <w:rPr>
          <w:rFonts w:ascii="Arial" w:eastAsia="Times New Roman" w:hAnsi="Arial" w:cs="Arial"/>
          <w:color w:val="000000" w:themeColor="text1"/>
          <w:sz w:val="24"/>
          <w:szCs w:val="24"/>
        </w:rPr>
        <w:t>)</w:t>
      </w:r>
    </w:p>
    <w:p w:rsidR="00407AB1" w:rsidRPr="00A42B2A" w:rsidRDefault="00407AB1" w:rsidP="00407AB1">
      <w:pPr>
        <w:pStyle w:val="ListParagraph"/>
        <w:spacing w:after="0"/>
        <w:ind w:left="360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8.2 Хэмжилтийн үр дүнг хоёр тодорхойлолтын үр дүнгийн утгын арифметик дунджаар тооцно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Тодорхойлолтын үр дүнг хүлээн зөвшөөрөх байдлыг дараах нөхцөлийн үндсэн дээр үнэлнэ: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eastAsiaTheme="minorEastAsia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color w:val="000000" w:themeColor="text1"/>
                <w:sz w:val="24"/>
                <w:szCs w:val="24"/>
                <w:lang w:val="mn-MN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mn-MN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mn-MN"/>
                  </w:rPr>
                  <m:t>ж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mn-MN"/>
                  </w:rPr>
                  <m:t>1</m:t>
                </m:r>
              </m:sub>
            </m:sSub>
            <m:box>
              <m:boxPr>
                <m:opEmu m:val="1"/>
                <m:ctrlPr>
                  <w:rPr>
                    <w:rFonts w:ascii="Cambria Math" w:hAnsi="Cambria Math" w:cs="Arial"/>
                    <w:i/>
                    <w:color w:val="000000" w:themeColor="text1"/>
                    <w:sz w:val="24"/>
                    <w:szCs w:val="24"/>
                    <w:lang w:val="mn-MN"/>
                  </w:rPr>
                </m:ctrlPr>
              </m:boxPr>
              <m:e>
                <m:r>
                  <w:rPr>
                    <w:rFonts w:ascii="Cambria Math" w:hAnsi="Cambria Math" w:cs="Arial"/>
                    <w:color w:val="000000" w:themeColor="text1"/>
                    <w:sz w:val="24"/>
                    <w:szCs w:val="24"/>
                    <w:lang w:val="mn-M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4"/>
                        <w:szCs w:val="24"/>
                        <w:lang w:val="mn-M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mn-MN"/>
                      </w:rPr>
                      <m:t>ж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4"/>
                        <w:szCs w:val="24"/>
                        <w:lang w:val="mn-MN"/>
                      </w:rPr>
                      <m:t>2</m:t>
                    </m:r>
                  </m:sub>
                </m:sSub>
              </m:e>
            </m:box>
          </m:e>
        </m:d>
        <m:r>
          <w:rPr>
            <w:rFonts w:ascii="Cambria Math" w:hAnsi="Cambria Math" w:cs="Arial"/>
            <w:color w:val="000000" w:themeColor="text1"/>
            <w:sz w:val="24"/>
            <w:szCs w:val="24"/>
            <w:lang w:val="mn-MN"/>
          </w:rPr>
          <m:t>≤</m:t>
        </m:r>
        <m:r>
          <w:rPr>
            <w:rFonts w:ascii="Cambria Math" w:hAnsi="Cambria Math" w:cs="Arial"/>
            <w:color w:val="000000" w:themeColor="text1"/>
            <w:sz w:val="24"/>
            <w:szCs w:val="24"/>
          </w:rPr>
          <m:t>r</m:t>
        </m:r>
      </m:oMath>
      <w:r w:rsidR="0019562F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, (</w:t>
      </w:r>
      <w:r w:rsidR="0019562F" w:rsidRPr="00A42B2A">
        <w:rPr>
          <w:rFonts w:ascii="Arial" w:hAnsi="Arial" w:cs="Arial"/>
          <w:color w:val="000000" w:themeColor="text1"/>
          <w:sz w:val="24"/>
          <w:szCs w:val="24"/>
        </w:rPr>
        <w:t>5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m:oMath>
        <m:r>
          <w:rPr>
            <w:rFonts w:ascii="Cambria Math" w:hAnsi="Cambria Math" w:cs="Arial"/>
            <w:color w:val="000000" w:themeColor="text1"/>
            <w:sz w:val="24"/>
            <w:szCs w:val="24"/>
          </w:rPr>
          <m:t>r</m:t>
        </m:r>
      </m:oMath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-Таарцын хязгаар (1-р хүснэгтийг үз);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 Ж</w:t>
      </w:r>
      <w:r w:rsidRPr="00A42B2A">
        <w:rPr>
          <w:rFonts w:ascii="Arial" w:hAnsi="Arial" w:cs="Arial"/>
          <w:color w:val="000000" w:themeColor="text1"/>
          <w:sz w:val="24"/>
          <w:szCs w:val="24"/>
          <w:vertAlign w:val="subscript"/>
          <w:lang w:val="mn-MN"/>
        </w:rPr>
        <w:t>1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 Ж</w:t>
      </w:r>
      <w:r w:rsidRPr="00A42B2A">
        <w:rPr>
          <w:rFonts w:ascii="Arial" w:hAnsi="Arial" w:cs="Arial"/>
          <w:color w:val="000000" w:themeColor="text1"/>
          <w:sz w:val="24"/>
          <w:szCs w:val="24"/>
          <w:vertAlign w:val="subscript"/>
          <w:lang w:val="mn-MN"/>
        </w:rPr>
        <w:t xml:space="preserve">2 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- 4.5.2 ба 4.5.3 дагуух шинжилгээний үр дүнгүүд, </w:t>
      </w:r>
      <w:proofErr w:type="spellStart"/>
      <w:r w:rsidR="003B6BA1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3B6BA1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 xml:space="preserve"> Хэрвээ усны хатуулаг тодорхойлох шинжилгээний хоёр үр дүнгийн хоорондох ялгаа нь тогтоосон утгаас их байвал шинжилгээг давтана . Энэ тохиолдолд хүлээн зөвшөөрөх эсэхийг [5.1,-р хэсэг] дагуу шийднэ.</w:t>
      </w:r>
    </w:p>
    <w:p w:rsidR="005D72CC" w:rsidRPr="00A42B2A" w:rsidRDefault="005D72CC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Хэмжилзүйн үзүүлэлтүүд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br/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1-р хүснэгтэд үзүүлснээр энэ аргын хэмжлийн хэмжилзүйн үр дүнгийн   итгэлцлийн магадлал 0.95 гэсэн хэмжээнээс хэтрэхгүй байна.</w:t>
      </w:r>
    </w:p>
    <w:p w:rsidR="002E2D09" w:rsidRPr="00A42B2A" w:rsidRDefault="002E2D09" w:rsidP="002E2D09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tbl>
      <w:tblPr>
        <w:tblW w:w="0" w:type="auto"/>
        <w:tblCellSpacing w:w="15" w:type="dxa"/>
        <w:tblInd w:w="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3"/>
        <w:gridCol w:w="3666"/>
        <w:gridCol w:w="1710"/>
        <w:gridCol w:w="1338"/>
      </w:tblGrid>
      <w:tr w:rsidR="00A42B2A" w:rsidRPr="00A42B2A" w:rsidTr="009E6C87">
        <w:trPr>
          <w:trHeight w:val="15"/>
          <w:tblCellSpacing w:w="15" w:type="dxa"/>
        </w:trPr>
        <w:tc>
          <w:tcPr>
            <w:tcW w:w="2520" w:type="dxa"/>
            <w:vAlign w:val="center"/>
            <w:hideMark/>
          </w:tcPr>
          <w:p w:rsidR="00407AB1" w:rsidRPr="00A42B2A" w:rsidRDefault="00407AB1" w:rsidP="00A1603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</w:pPr>
            <w:r w:rsidRPr="00A42B2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mn-MN"/>
              </w:rPr>
              <w:lastRenderedPageBreak/>
              <w:t>1-р хүснэгт.</w:t>
            </w:r>
          </w:p>
        </w:tc>
        <w:tc>
          <w:tcPr>
            <w:tcW w:w="3640" w:type="dxa"/>
            <w:vAlign w:val="center"/>
          </w:tcPr>
          <w:p w:rsidR="00407AB1" w:rsidRPr="00A42B2A" w:rsidRDefault="00407AB1" w:rsidP="00A1603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  <w:hideMark/>
          </w:tcPr>
          <w:p w:rsidR="00407AB1" w:rsidRPr="00A42B2A" w:rsidRDefault="00407AB1" w:rsidP="00A1603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407AB1" w:rsidRPr="00A42B2A" w:rsidRDefault="00407AB1" w:rsidP="00A16031">
            <w:pPr>
              <w:spacing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A42B2A" w:rsidRPr="00A42B2A" w:rsidTr="009E6C87">
        <w:trPr>
          <w:tblCellSpacing w:w="15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07AB1" w:rsidRPr="00A42B2A" w:rsidRDefault="00407AB1" w:rsidP="00A16031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Style w:val="shorttext"/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Хатуулгийн өөрчлөлтийн хэмжих хязгаар,</w:t>
            </w: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>мг·экв</w:t>
            </w:r>
            <w:proofErr w:type="spellEnd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/л </w:t>
            </w:r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07AB1" w:rsidRPr="00A42B2A" w:rsidRDefault="00407AB1" w:rsidP="00A16031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Нарийвчлалын индекс (0.95</w:t>
            </w:r>
            <w:r w:rsidR="000A5DA6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итгэлцлийн магадлал бүхий алдааны  интервал) </w:t>
            </w:r>
            <w:proofErr w:type="spellStart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>мг·экв</w:t>
            </w:r>
            <w:proofErr w:type="spellEnd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/л </w:t>
            </w:r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07AB1" w:rsidRPr="00A42B2A" w:rsidRDefault="00407AB1" w:rsidP="00A16031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Style w:val="shorttext"/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Давталтын хүрээ</w:t>
            </w:r>
            <w:r w:rsidRPr="00A42B2A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330006E" wp14:editId="738D623C">
                      <wp:extent cx="114300" cy="123825"/>
                      <wp:effectExtent l="0" t="0" r="0" b="9525"/>
                      <wp:docPr id="5" name="AutoShape 1" descr="ГОСТ 31954-2012 Вода питьевая. Методы определения жесткости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DC32" id="AutoShape 1" o:spid="_x0000_s1026" alt="ГОСТ 31954-2012 Вода питьевая. Методы определения жесткости (с Поправкой)" style="width:9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>мг·экв</w:t>
            </w:r>
            <w:proofErr w:type="spellEnd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/л </w:t>
            </w:r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vAlign w:val="center"/>
            <w:hideMark/>
          </w:tcPr>
          <w:p w:rsidR="00407AB1" w:rsidRPr="00A42B2A" w:rsidRDefault="00407AB1" w:rsidP="00A16031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Style w:val="shorttext"/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Таарц</w:t>
            </w:r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>мг·экв</w:t>
            </w:r>
            <w:proofErr w:type="spellEnd"/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/л </w:t>
            </w:r>
            <w:r w:rsidR="003B6BA1"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</w:tr>
      <w:tr w:rsidR="00A42B2A" w:rsidRPr="00A42B2A" w:rsidTr="009E6C87">
        <w:trPr>
          <w:tblCellSpacing w:w="15" w:type="dxa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A16031">
            <w:pPr>
              <w:spacing w:before="100" w:beforeAutospacing="1"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0,1</w:t>
            </w: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-</w:t>
            </w: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0,4 </w:t>
            </w:r>
          </w:p>
        </w:tc>
        <w:tc>
          <w:tcPr>
            <w:tcW w:w="36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0,07</w:t>
            </w:r>
          </w:p>
        </w:tc>
      </w:tr>
      <w:tr w:rsidR="00A42B2A" w:rsidRPr="00A42B2A" w:rsidTr="009E6C87">
        <w:trPr>
          <w:tblCellSpacing w:w="15" w:type="dxa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A16031">
            <w:pPr>
              <w:spacing w:before="100" w:beforeAutospacing="1"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0,4</w:t>
            </w:r>
          </w:p>
        </w:tc>
        <w:tc>
          <w:tcPr>
            <w:tcW w:w="36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9E6C87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</w:t>
            </w:r>
            <w:r w:rsidR="00407AB1"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0,15·</w:t>
            </w:r>
            <w:r w:rsidR="00407AB1" w:rsidRPr="00A42B2A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1FE95AE" wp14:editId="6EC0EDAE">
                      <wp:extent cx="219075" cy="161925"/>
                      <wp:effectExtent l="0" t="0" r="0" b="9525"/>
                      <wp:docPr id="3" name="AutoShape 3" descr="ГОСТ 31954-2012 Вода питьевая. Методы определения жесткости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47B0D" id="AutoShape 3" o:spid="_x0000_s1026" alt="ГОСТ 31954-2012 Вода питьевая. Методы определения жесткости (с Поправкой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9E6C87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</w:t>
            </w:r>
            <w:r w:rsidR="00407AB1"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0,1</w:t>
            </w:r>
            <w:r w:rsidR="00407AB1" w:rsidRPr="00A42B2A">
              <w:rPr>
                <w:rFonts w:ascii="Arial" w:eastAsia="Times New Roman" w:hAnsi="Arial" w:cs="Arial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6B1243" wp14:editId="78A87D76">
                      <wp:extent cx="219075" cy="161925"/>
                      <wp:effectExtent l="0" t="0" r="0" b="9525"/>
                      <wp:docPr id="2" name="AutoShape 4" descr="ГОСТ 31954-2012 Вода питьевая. Методы определения жесткости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F22F20" id="AutoShape 4" o:spid="_x0000_s1026" alt="ГОСТ 31954-2012 Вода питьевая. Методы определения жесткости (с Поправкой)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9E6C87">
            <w:pPr>
              <w:spacing w:before="100" w:beforeAutospacing="1" w:after="0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  <w:r w:rsidR="009E6C87"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,21</w:t>
            </w:r>
          </w:p>
        </w:tc>
      </w:tr>
      <w:tr w:rsidR="00A42B2A" w:rsidRPr="00A42B2A" w:rsidTr="009E6C87">
        <w:trPr>
          <w:trHeight w:val="227"/>
          <w:tblCellSpacing w:w="15" w:type="dxa"/>
        </w:trPr>
        <w:tc>
          <w:tcPr>
            <w:tcW w:w="9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07AB1" w:rsidRPr="00A42B2A" w:rsidRDefault="00407AB1" w:rsidP="00A16031">
            <w:pPr>
              <w:spacing w:before="100" w:beforeAutospacing="1" w:after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A42B2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* </w:t>
            </w:r>
            <w:r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 xml:space="preserve">Алдаатай холбоотой интервалын тогтоосон тоон утгууд нь (харьцуулсан нэгжүүд) хамрах хүрээний өргөтгөсөн эргэлзээний тоон утгуудтай тохирч </w:t>
            </w:r>
            <w:proofErr w:type="gramStart"/>
            <w:r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байна  2</w:t>
            </w:r>
            <w:proofErr w:type="gramEnd"/>
            <w:r w:rsidRPr="00A42B2A">
              <w:rPr>
                <w:rFonts w:ascii="Arial" w:hAnsi="Arial" w:cs="Arial"/>
                <w:color w:val="000000" w:themeColor="text1"/>
                <w:sz w:val="24"/>
                <w:szCs w:val="24"/>
                <w:lang w:val="mn-MN"/>
              </w:rPr>
              <w:t>. Тооцооллын эргэлзээг [2] -д заасны дагуу гүйцэтгэнэ.</w:t>
            </w:r>
          </w:p>
        </w:tc>
      </w:tr>
    </w:tbl>
    <w:p w:rsidR="00407AB1" w:rsidRPr="00A42B2A" w:rsidRDefault="00407AB1" w:rsidP="00407AB1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>9.1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Хэмжилтийн үр дүнгүүдийн чанарын үзүүлэлтийг хянах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Усны лабораторид шинжилж буй усны хатуулгийн  хэмжээг  Усны улсын (Олон улсын) стандарт загварын хатуулгийн найрлага найрлагад тавигдах шаардлагын хяналтын хэмжилтийн үр дүнтэй харьцуулан  үр дүнгийн тогтвортой байдалд хяналт тавих болно.</w:t>
      </w:r>
    </w:p>
    <w:p w:rsidR="001F7657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ТАЙЛБАР: Ашигласан Усны улсын (Олон улсын) стандарт загварын хатуулаг нь ммоль/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(моль/м</w:t>
      </w:r>
      <w:r w:rsidRPr="00A42B2A">
        <w:rPr>
          <w:rFonts w:ascii="Arial" w:hAnsi="Arial" w:cs="Arial"/>
          <w:color w:val="000000" w:themeColor="text1"/>
          <w:sz w:val="24"/>
          <w:szCs w:val="24"/>
          <w:vertAlign w:val="superscript"/>
          <w:lang w:val="mn-MN"/>
        </w:rPr>
        <w:t>3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) -ээр илэрхийлсэн бол хатуулгийн нэгжид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*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шил</w:t>
      </w:r>
      <w:r w:rsidR="001F765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жүүлэх хэрэгтэй.</w:t>
      </w:r>
    </w:p>
    <w:p w:rsidR="00407AB1" w:rsidRPr="00A42B2A" w:rsidRDefault="00407AB1" w:rsidP="00407AB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 xml:space="preserve">* Ммоль /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л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-ээр илэ</w:t>
      </w:r>
      <w:r w:rsidR="009F64B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рхийлэгдсэн усны хатуулгийн утгыг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3B6BA1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3B6BA1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3B6BA1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-д </w:t>
      </w:r>
      <w:r w:rsidR="009F64B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шилжүүлсэн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байна.</w:t>
      </w:r>
    </w:p>
    <w:p w:rsidR="00407AB1" w:rsidRPr="00A42B2A" w:rsidRDefault="00407AB1" w:rsidP="00B5555D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proofErr w:type="gramStart"/>
      <w:r w:rsidRPr="00A42B2A">
        <w:rPr>
          <w:rFonts w:ascii="Arial" w:hAnsi="Arial" w:cs="Arial"/>
          <w:b/>
          <w:color w:val="000000" w:themeColor="text1"/>
          <w:sz w:val="24"/>
          <w:szCs w:val="24"/>
        </w:rPr>
        <w:t>9.2</w:t>
      </w: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 Үр</w:t>
      </w:r>
      <w:proofErr w:type="gramEnd"/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 xml:space="preserve"> дүнг илэрхийлэх</w:t>
      </w:r>
    </w:p>
    <w:p w:rsidR="00407AB1" w:rsidRPr="00A42B2A" w:rsidRDefault="00407AB1" w:rsidP="00B5555D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Хэмжилтийн үр дүнг </w:t>
      </w:r>
      <w:r w:rsidR="008A2AAD" w:rsidRPr="00A42B2A">
        <w:rPr>
          <w:rFonts w:ascii="Arial" w:hAnsi="Arial" w:cs="Arial"/>
          <w:color w:val="000000" w:themeColor="text1"/>
          <w:sz w:val="24"/>
          <w:szCs w:val="24"/>
        </w:rPr>
        <w:t>MNS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ISO / IEC 17025</w:t>
      </w:r>
      <w:r w:rsidR="008A2AAD" w:rsidRPr="00A42B2A">
        <w:rPr>
          <w:rFonts w:ascii="Arial" w:hAnsi="Arial" w:cs="Arial"/>
          <w:color w:val="000000" w:themeColor="text1"/>
          <w:sz w:val="24"/>
          <w:szCs w:val="24"/>
        </w:rPr>
        <w:t>.2018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-ийн дагуу тэмдэглэл(тайлан) бичнэ. Тэмдэглэлд энэхүү стандартын лабораторийн аргыг зааж өгнө.</w:t>
      </w:r>
    </w:p>
    <w:p w:rsidR="00407AB1" w:rsidRPr="00A42B2A" w:rsidRDefault="00407AB1" w:rsidP="00B5555D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Хэмжилтийн үр дүнг дараах байдлаар илэрхийлж болно: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br/>
        <w:t xml:space="preserve">                            </w:t>
      </w:r>
      <w:r w:rsidR="0019562F" w:rsidRPr="00A42B2A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(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Ж±∆</w:t>
      </w:r>
      <w:r w:rsidRPr="00A42B2A">
        <w:rPr>
          <w:rFonts w:ascii="Arial" w:hAnsi="Arial" w:cs="Arial"/>
          <w:color w:val="000000" w:themeColor="text1"/>
          <w:sz w:val="24"/>
          <w:szCs w:val="24"/>
        </w:rPr>
        <w:t>)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 , </w:t>
      </w:r>
      <w:r w:rsidR="0019562F" w:rsidRPr="00A42B2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(6)</w:t>
      </w:r>
    </w:p>
    <w:p w:rsidR="00407AB1" w:rsidRPr="00A42B2A" w:rsidRDefault="00407AB1" w:rsidP="00B5555D">
      <w:pPr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Ж- усны хатуулгийн утга, </w:t>
      </w:r>
      <w:proofErr w:type="spellStart"/>
      <w:r w:rsidR="009F64B7" w:rsidRPr="00A42B2A">
        <w:rPr>
          <w:rFonts w:ascii="Arial" w:hAnsi="Arial" w:cs="Arial"/>
          <w:color w:val="000000" w:themeColor="text1"/>
          <w:sz w:val="24"/>
          <w:szCs w:val="24"/>
        </w:rPr>
        <w:t>мг·экв</w:t>
      </w:r>
      <w:proofErr w:type="spellEnd"/>
      <w:r w:rsidR="009F64B7" w:rsidRPr="00A42B2A">
        <w:rPr>
          <w:rFonts w:ascii="Arial" w:hAnsi="Arial" w:cs="Arial"/>
          <w:color w:val="000000" w:themeColor="text1"/>
          <w:sz w:val="24"/>
          <w:szCs w:val="24"/>
        </w:rPr>
        <w:t xml:space="preserve"> /л </w:t>
      </w:r>
      <w:r w:rsidR="009F64B7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:rsidR="00407AB1" w:rsidRPr="00A42B2A" w:rsidRDefault="00407AB1" w:rsidP="00B5555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∆ - усны хатуулгийг тодорхойлоход гарах 0.95 итгэлцлийн магадлал бүхий алдааны  интервал </w:t>
      </w:r>
      <w:r w:rsidR="00B5555D"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A42B2A">
        <w:rPr>
          <w:rFonts w:ascii="Arial" w:hAnsi="Arial" w:cs="Arial"/>
          <w:color w:val="000000" w:themeColor="text1"/>
          <w:sz w:val="24"/>
          <w:szCs w:val="24"/>
          <w:lang w:val="mn-MN"/>
        </w:rPr>
        <w:t>(1-р хүснэгтийг үзнэ үү).</w:t>
      </w: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07AB1" w:rsidRPr="00A42B2A" w:rsidRDefault="00407AB1" w:rsidP="00407AB1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407AB1" w:rsidRPr="00A42B2A" w:rsidRDefault="00407AB1" w:rsidP="00407AB1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2B2A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ТӨГСӨВ.</w:t>
      </w:r>
    </w:p>
    <w:p w:rsidR="00707EA0" w:rsidRPr="00A42B2A" w:rsidRDefault="00707EA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07EA0" w:rsidRPr="00A42B2A" w:rsidSect="00116E89">
      <w:headerReference w:type="default" r:id="rId7"/>
      <w:footerReference w:type="default" r:id="rId8"/>
      <w:pgSz w:w="11909" w:h="16834" w:code="9"/>
      <w:pgMar w:top="1134" w:right="851" w:bottom="1134" w:left="1701" w:header="289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1A" w:rsidRDefault="00E61E1A" w:rsidP="004A3014">
      <w:pPr>
        <w:spacing w:after="0" w:line="240" w:lineRule="auto"/>
      </w:pPr>
      <w:r>
        <w:separator/>
      </w:r>
    </w:p>
  </w:endnote>
  <w:endnote w:type="continuationSeparator" w:id="0">
    <w:p w:rsidR="00E61E1A" w:rsidRDefault="00E61E1A" w:rsidP="004A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590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DA3" w:rsidRDefault="002D0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D511B" w:rsidRDefault="00E61E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1A" w:rsidRDefault="00E61E1A" w:rsidP="004A3014">
      <w:pPr>
        <w:spacing w:after="0" w:line="240" w:lineRule="auto"/>
      </w:pPr>
      <w:r>
        <w:separator/>
      </w:r>
    </w:p>
  </w:footnote>
  <w:footnote w:type="continuationSeparator" w:id="0">
    <w:p w:rsidR="00E61E1A" w:rsidRDefault="00E61E1A" w:rsidP="004A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1B" w:rsidRDefault="007B623A" w:rsidP="007B623A">
    <w:pPr>
      <w:pStyle w:val="Header"/>
      <w:rPr>
        <w:rFonts w:ascii="Times New Roman" w:hAnsi="Times New Roman" w:cs="Times New Roman"/>
        <w:lang w:val="mn-MN"/>
      </w:rPr>
    </w:pPr>
    <w:r w:rsidRPr="00BE78ED">
      <w:rPr>
        <w:rFonts w:ascii="Arial" w:hAnsi="Arial" w:cs="Arial"/>
        <w:b/>
        <w:color w:val="000000" w:themeColor="text1"/>
        <w:sz w:val="24"/>
        <w:szCs w:val="24"/>
      </w:rPr>
      <w:t>MNS</w:t>
    </w:r>
    <w:proofErr w:type="gramStart"/>
    <w:r>
      <w:rPr>
        <w:rFonts w:ascii="Arial" w:hAnsi="Arial" w:cs="Arial"/>
        <w:b/>
        <w:color w:val="000000" w:themeColor="text1"/>
        <w:sz w:val="24"/>
        <w:szCs w:val="24"/>
      </w:rPr>
      <w:t>…….</w:t>
    </w:r>
    <w:r w:rsidRPr="00BE78ED">
      <w:rPr>
        <w:rFonts w:ascii="Arial" w:hAnsi="Arial" w:cs="Arial"/>
        <w:b/>
        <w:color w:val="000000" w:themeColor="text1"/>
        <w:sz w:val="24"/>
        <w:szCs w:val="24"/>
        <w:lang w:val="mn-MN"/>
      </w:rPr>
      <w:t>...</w:t>
    </w:r>
    <w:r w:rsidRPr="00BE78ED">
      <w:rPr>
        <w:rFonts w:ascii="Arial" w:hAnsi="Arial" w:cs="Arial"/>
        <w:b/>
        <w:color w:val="000000" w:themeColor="text1"/>
        <w:sz w:val="24"/>
        <w:szCs w:val="24"/>
      </w:rPr>
      <w:t>:</w:t>
    </w:r>
    <w:proofErr w:type="gramEnd"/>
    <w:r w:rsidRPr="00BE78ED">
      <w:rPr>
        <w:rFonts w:ascii="Arial" w:hAnsi="Arial" w:cs="Arial"/>
        <w:b/>
        <w:color w:val="000000" w:themeColor="text1"/>
        <w:sz w:val="24"/>
        <w:szCs w:val="24"/>
        <w:lang w:val="mn-MN"/>
      </w:rPr>
      <w:t>201</w:t>
    </w:r>
    <w:r w:rsidRPr="00BE78ED">
      <w:rPr>
        <w:rFonts w:ascii="Arial" w:hAnsi="Arial" w:cs="Arial"/>
        <w:b/>
        <w:color w:val="000000" w:themeColor="text1"/>
        <w:sz w:val="24"/>
        <w:szCs w:val="24"/>
      </w:rPr>
      <w:t>9</w:t>
    </w:r>
    <w:r>
      <w:rPr>
        <w:rFonts w:ascii="Arial" w:hAnsi="Arial" w:cs="Arial"/>
        <w:b/>
        <w:color w:val="000000" w:themeColor="text1"/>
        <w:sz w:val="24"/>
        <w:szCs w:val="24"/>
        <w:lang w:val="mn-MN"/>
      </w:rPr>
      <w:tab/>
    </w:r>
    <w:r>
      <w:rPr>
        <w:rFonts w:ascii="Arial" w:hAnsi="Arial" w:cs="Arial"/>
        <w:b/>
        <w:color w:val="000000" w:themeColor="text1"/>
        <w:sz w:val="24"/>
        <w:szCs w:val="24"/>
        <w:lang w:val="mn-MN"/>
      </w:rPr>
      <w:tab/>
    </w:r>
    <w:r w:rsidR="00116E89">
      <w:rPr>
        <w:rFonts w:ascii="Times New Roman" w:hAnsi="Times New Roman" w:cs="Times New Roman"/>
      </w:rPr>
      <w:t>TC</w:t>
    </w:r>
    <w:r w:rsidR="005A52EB">
      <w:rPr>
        <w:rFonts w:ascii="Times New Roman" w:hAnsi="Times New Roman" w:cs="Times New Roman"/>
        <w:lang w:val="mn-MN"/>
      </w:rPr>
      <w:t xml:space="preserve"> </w:t>
    </w:r>
    <w:r w:rsidR="005A52EB" w:rsidRPr="006A508E">
      <w:rPr>
        <w:rFonts w:ascii="Times New Roman" w:hAnsi="Times New Roman" w:cs="Times New Roman"/>
        <w:lang w:val="mn-MN"/>
      </w:rPr>
      <w:t>Т</w:t>
    </w:r>
    <w:r w:rsidR="005A52EB">
      <w:rPr>
        <w:rFonts w:ascii="Times New Roman" w:hAnsi="Times New Roman" w:cs="Times New Roman"/>
        <w:lang w:val="mn-MN"/>
      </w:rPr>
      <w:t>ӨСӨЛ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B597A"/>
    <w:multiLevelType w:val="multilevel"/>
    <w:tmpl w:val="CF9C49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29A58E7"/>
    <w:multiLevelType w:val="hybridMultilevel"/>
    <w:tmpl w:val="528E646C"/>
    <w:lvl w:ilvl="0" w:tplc="7820C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E7C01"/>
    <w:multiLevelType w:val="multilevel"/>
    <w:tmpl w:val="3A7280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94" w:hanging="20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94" w:hanging="20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4" w:hanging="20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94" w:hanging="20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94" w:hanging="201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4" w:hanging="201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4" w:hanging="201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4" w:hanging="2010"/>
      </w:pPr>
      <w:rPr>
        <w:rFonts w:hint="default"/>
        <w:b/>
      </w:rPr>
    </w:lvl>
  </w:abstractNum>
  <w:abstractNum w:abstractNumId="3">
    <w:nsid w:val="5ADC702A"/>
    <w:multiLevelType w:val="hybridMultilevel"/>
    <w:tmpl w:val="2DD6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24"/>
    <w:rsid w:val="0002169B"/>
    <w:rsid w:val="00030E42"/>
    <w:rsid w:val="000612BE"/>
    <w:rsid w:val="0009047F"/>
    <w:rsid w:val="000A5DA6"/>
    <w:rsid w:val="000B1DCC"/>
    <w:rsid w:val="000D0E0F"/>
    <w:rsid w:val="000E6F34"/>
    <w:rsid w:val="00116E89"/>
    <w:rsid w:val="00135AC0"/>
    <w:rsid w:val="00165135"/>
    <w:rsid w:val="00174436"/>
    <w:rsid w:val="0019562F"/>
    <w:rsid w:val="001A6DCD"/>
    <w:rsid w:val="001C6A87"/>
    <w:rsid w:val="001E0C92"/>
    <w:rsid w:val="001E7FB4"/>
    <w:rsid w:val="001F7657"/>
    <w:rsid w:val="00205C8C"/>
    <w:rsid w:val="00244FCC"/>
    <w:rsid w:val="00246570"/>
    <w:rsid w:val="00251A92"/>
    <w:rsid w:val="00277B88"/>
    <w:rsid w:val="00286DA6"/>
    <w:rsid w:val="002D0DA3"/>
    <w:rsid w:val="002D357E"/>
    <w:rsid w:val="002E2D09"/>
    <w:rsid w:val="00306467"/>
    <w:rsid w:val="003402D8"/>
    <w:rsid w:val="00356963"/>
    <w:rsid w:val="003934F0"/>
    <w:rsid w:val="003B6BA1"/>
    <w:rsid w:val="00407AB1"/>
    <w:rsid w:val="00412B18"/>
    <w:rsid w:val="00427EEA"/>
    <w:rsid w:val="00434653"/>
    <w:rsid w:val="00471991"/>
    <w:rsid w:val="004A2AEF"/>
    <w:rsid w:val="004A3014"/>
    <w:rsid w:val="004C1572"/>
    <w:rsid w:val="00507E63"/>
    <w:rsid w:val="00590C4C"/>
    <w:rsid w:val="005A52EB"/>
    <w:rsid w:val="005D72CC"/>
    <w:rsid w:val="005F3C0E"/>
    <w:rsid w:val="00612934"/>
    <w:rsid w:val="00640C24"/>
    <w:rsid w:val="00651C56"/>
    <w:rsid w:val="006932B3"/>
    <w:rsid w:val="00707EA0"/>
    <w:rsid w:val="0076236A"/>
    <w:rsid w:val="007B623A"/>
    <w:rsid w:val="007C5F0E"/>
    <w:rsid w:val="008423B6"/>
    <w:rsid w:val="008A2AAD"/>
    <w:rsid w:val="00915934"/>
    <w:rsid w:val="009B3A01"/>
    <w:rsid w:val="009E6C87"/>
    <w:rsid w:val="009F64B7"/>
    <w:rsid w:val="00A10C58"/>
    <w:rsid w:val="00A1108F"/>
    <w:rsid w:val="00A26ED6"/>
    <w:rsid w:val="00A42B2A"/>
    <w:rsid w:val="00A64B26"/>
    <w:rsid w:val="00A84E9B"/>
    <w:rsid w:val="00B4108C"/>
    <w:rsid w:val="00B5555D"/>
    <w:rsid w:val="00B622DB"/>
    <w:rsid w:val="00B82867"/>
    <w:rsid w:val="00B96F67"/>
    <w:rsid w:val="00BD5B0B"/>
    <w:rsid w:val="00BE78ED"/>
    <w:rsid w:val="00BF45CF"/>
    <w:rsid w:val="00C64AD6"/>
    <w:rsid w:val="00C66B15"/>
    <w:rsid w:val="00C81B4D"/>
    <w:rsid w:val="00C90AE7"/>
    <w:rsid w:val="00CA0A49"/>
    <w:rsid w:val="00CA3840"/>
    <w:rsid w:val="00D03D14"/>
    <w:rsid w:val="00D160B3"/>
    <w:rsid w:val="00D30B60"/>
    <w:rsid w:val="00D42616"/>
    <w:rsid w:val="00D42D94"/>
    <w:rsid w:val="00D80D03"/>
    <w:rsid w:val="00E61E1A"/>
    <w:rsid w:val="00E853A6"/>
    <w:rsid w:val="00E92483"/>
    <w:rsid w:val="00EE231A"/>
    <w:rsid w:val="00EF7E15"/>
    <w:rsid w:val="00F426B7"/>
    <w:rsid w:val="00FD08D1"/>
    <w:rsid w:val="00FD1EDB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FB7BB-B0DB-4259-B8BC-5231B14E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AB1"/>
    <w:pPr>
      <w:ind w:left="720"/>
      <w:contextualSpacing/>
    </w:pPr>
  </w:style>
  <w:style w:type="character" w:customStyle="1" w:styleId="shorttext">
    <w:name w:val="short_text"/>
    <w:basedOn w:val="DefaultParagraphFont"/>
    <w:rsid w:val="00407AB1"/>
  </w:style>
  <w:style w:type="table" w:styleId="TableGrid">
    <w:name w:val="Table Grid"/>
    <w:basedOn w:val="TableNormal"/>
    <w:uiPriority w:val="59"/>
    <w:rsid w:val="0040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B1"/>
  </w:style>
  <w:style w:type="paragraph" w:styleId="Footer">
    <w:name w:val="footer"/>
    <w:basedOn w:val="Normal"/>
    <w:link w:val="FooterChar"/>
    <w:uiPriority w:val="99"/>
    <w:unhideWhenUsed/>
    <w:rsid w:val="00407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B1"/>
  </w:style>
  <w:style w:type="paragraph" w:styleId="BalloonText">
    <w:name w:val="Balloon Text"/>
    <w:basedOn w:val="Normal"/>
    <w:link w:val="BalloonTextChar"/>
    <w:uiPriority w:val="99"/>
    <w:semiHidden/>
    <w:unhideWhenUsed/>
    <w:rsid w:val="0041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Chimedtsogzol</dc:creator>
  <cp:keywords/>
  <dc:description/>
  <cp:lastModifiedBy>Chimedtsogzol</cp:lastModifiedBy>
  <cp:revision>4</cp:revision>
  <cp:lastPrinted>2019-05-27T04:00:00Z</cp:lastPrinted>
  <dcterms:created xsi:type="dcterms:W3CDTF">2019-05-27T04:06:00Z</dcterms:created>
  <dcterms:modified xsi:type="dcterms:W3CDTF">2019-05-27T04:08:00Z</dcterms:modified>
</cp:coreProperties>
</file>